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1DC3A">
      <w:pPr>
        <w:spacing w:line="360" w:lineRule="auto"/>
        <w:jc w:val="both"/>
        <w:rPr>
          <w:b/>
          <w:color w:val="auto"/>
          <w:sz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轻微方案偏离报告表</w:t>
      </w:r>
      <w:r>
        <w:rPr>
          <w:rFonts w:hint="eastAsia"/>
          <w:b/>
          <w:color w:val="auto"/>
          <w:sz w:val="24"/>
        </w:rPr>
        <w:t>(</w:t>
      </w:r>
      <w:r>
        <w:rPr>
          <w:b/>
          <w:color w:val="auto"/>
          <w:sz w:val="24"/>
        </w:rPr>
        <w:t>IEC-C-0</w:t>
      </w:r>
      <w:r>
        <w:rPr>
          <w:rFonts w:hint="eastAsia"/>
          <w:b/>
          <w:color w:val="auto"/>
          <w:sz w:val="24"/>
          <w:lang w:eastAsia="zh-CN"/>
        </w:rPr>
        <w:t>20</w:t>
      </w:r>
      <w:r>
        <w:rPr>
          <w:b/>
          <w:color w:val="auto"/>
          <w:sz w:val="24"/>
        </w:rPr>
        <w:t>-A0</w:t>
      </w:r>
      <w:r>
        <w:rPr>
          <w:rFonts w:hint="eastAsia"/>
          <w:b/>
          <w:color w:val="auto"/>
          <w:sz w:val="24"/>
          <w:lang w:val="en-US" w:eastAsia="zh-CN"/>
        </w:rPr>
        <w:t>3</w:t>
      </w:r>
      <w:r>
        <w:rPr>
          <w:b/>
          <w:color w:val="auto"/>
          <w:sz w:val="24"/>
        </w:rPr>
        <w:t>-</w:t>
      </w:r>
      <w:r>
        <w:rPr>
          <w:rFonts w:hint="eastAsia"/>
          <w:b/>
          <w:color w:val="auto"/>
          <w:sz w:val="24"/>
          <w:lang w:eastAsia="zh-CN"/>
        </w:rPr>
        <w:t>V</w:t>
      </w:r>
      <w:r>
        <w:rPr>
          <w:rFonts w:hint="eastAsia"/>
          <w:b/>
          <w:color w:val="auto"/>
          <w:sz w:val="24"/>
          <w:lang w:val="en-US" w:eastAsia="zh-CN"/>
        </w:rPr>
        <w:t>5.0</w:t>
      </w:r>
      <w:r>
        <w:rPr>
          <w:rFonts w:hint="eastAsia"/>
          <w:b/>
          <w:color w:val="auto"/>
          <w:sz w:val="24"/>
        </w:rPr>
        <w:t>)</w:t>
      </w:r>
    </w:p>
    <w:p w14:paraId="2EB68B86">
      <w:pPr>
        <w:pStyle w:val="8"/>
        <w:spacing w:before="61" w:line="219" w:lineRule="auto"/>
        <w:ind w:left="4929"/>
        <w:rPr>
          <w:rFonts w:hint="eastAsia" w:eastAsia="宋体"/>
          <w:lang w:val="en-US" w:eastAsia="zh-CN"/>
        </w:rPr>
      </w:pPr>
      <w:r>
        <w:rPr>
          <w:rFonts w:hint="eastAsia"/>
          <w:b/>
          <w:bCs/>
          <w:spacing w:val="11"/>
          <w:sz w:val="31"/>
          <w:szCs w:val="31"/>
          <w:lang w:eastAsia="zh-CN"/>
        </w:rPr>
        <w:t>轻微方案偏离报告表</w:t>
      </w:r>
      <w:r>
        <w:rPr>
          <w:rFonts w:hint="eastAsia" w:eastAsia="宋体"/>
          <w:lang w:val="en-US" w:eastAsia="zh-CN"/>
        </w:rPr>
        <w:t xml:space="preserve"> </w:t>
      </w:r>
    </w:p>
    <w:p w14:paraId="7DD0FD2D">
      <w:pPr>
        <w:pStyle w:val="8"/>
        <w:spacing w:before="61" w:line="219" w:lineRule="auto"/>
        <w:rPr>
          <w:rFonts w:hint="default" w:eastAsia="宋体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伦理受理号：</w:t>
      </w:r>
      <w:r>
        <w:rPr>
          <w:rFonts w:hint="eastAsia" w:eastAsia="宋体"/>
          <w:b/>
          <w:bCs/>
          <w:color w:val="FF0000"/>
          <w:lang w:val="en-US" w:eastAsia="zh-CN"/>
        </w:rPr>
        <w:t xml:space="preserve"> </w:t>
      </w:r>
      <w:r>
        <w:rPr>
          <w:rFonts w:hint="eastAsia" w:eastAsia="宋体"/>
          <w:lang w:val="en-US" w:eastAsia="zh-CN"/>
        </w:rPr>
        <w:t xml:space="preserve">                                       </w:t>
      </w:r>
    </w:p>
    <w:tbl>
      <w:tblPr>
        <w:tblStyle w:val="62"/>
        <w:tblW w:w="137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390"/>
        <w:gridCol w:w="1198"/>
        <w:gridCol w:w="1159"/>
        <w:gridCol w:w="1539"/>
        <w:gridCol w:w="2978"/>
        <w:gridCol w:w="1299"/>
        <w:gridCol w:w="1599"/>
        <w:gridCol w:w="1873"/>
      </w:tblGrid>
      <w:tr w14:paraId="24CA9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04" w:type="dxa"/>
            <w:gridSpan w:val="2"/>
            <w:tcBorders>
              <w:right w:val="single" w:color="auto" w:sz="4" w:space="0"/>
            </w:tcBorders>
            <w:vAlign w:val="center"/>
          </w:tcPr>
          <w:p w14:paraId="4E2EE819">
            <w:pPr>
              <w:spacing w:before="102" w:line="293" w:lineRule="auto"/>
              <w:ind w:left="378" w:right="35" w:hanging="33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11645" w:type="dxa"/>
            <w:gridSpan w:val="7"/>
            <w:tcBorders>
              <w:left w:val="single" w:color="auto" w:sz="4" w:space="0"/>
            </w:tcBorders>
            <w:vAlign w:val="center"/>
          </w:tcPr>
          <w:p w14:paraId="713A04EE">
            <w:pPr>
              <w:spacing w:before="102" w:line="293" w:lineRule="auto"/>
              <w:ind w:left="378" w:right="35" w:hanging="33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C2D7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04" w:type="dxa"/>
            <w:gridSpan w:val="2"/>
            <w:tcBorders>
              <w:right w:val="single" w:color="auto" w:sz="4" w:space="0"/>
            </w:tcBorders>
            <w:vAlign w:val="center"/>
          </w:tcPr>
          <w:p w14:paraId="7075792C">
            <w:pPr>
              <w:spacing w:before="83" w:line="301" w:lineRule="auto"/>
              <w:ind w:right="173"/>
              <w:jc w:val="center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承担专业</w:t>
            </w:r>
          </w:p>
        </w:tc>
        <w:tc>
          <w:tcPr>
            <w:tcW w:w="3896" w:type="dxa"/>
            <w:gridSpan w:val="3"/>
            <w:tcBorders>
              <w:left w:val="single" w:color="auto" w:sz="4" w:space="0"/>
            </w:tcBorders>
            <w:vAlign w:val="center"/>
          </w:tcPr>
          <w:p w14:paraId="4D8E6CE6">
            <w:pPr>
              <w:spacing w:before="83" w:line="301" w:lineRule="auto"/>
              <w:ind w:left="433" w:right="173" w:hanging="280"/>
              <w:jc w:val="center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2978" w:type="dxa"/>
            <w:vAlign w:val="center"/>
          </w:tcPr>
          <w:p w14:paraId="48E9BD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主要研究者</w:t>
            </w:r>
          </w:p>
        </w:tc>
        <w:tc>
          <w:tcPr>
            <w:tcW w:w="4771" w:type="dxa"/>
            <w:gridSpan w:val="3"/>
            <w:vAlign w:val="top"/>
          </w:tcPr>
          <w:p w14:paraId="2FFD3B45">
            <w:pPr>
              <w:spacing w:before="102" w:line="293" w:lineRule="auto"/>
              <w:ind w:left="378" w:right="35" w:hanging="330"/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</w:pPr>
          </w:p>
        </w:tc>
      </w:tr>
      <w:tr w14:paraId="495D8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749" w:type="dxa"/>
            <w:gridSpan w:val="9"/>
            <w:vAlign w:val="top"/>
          </w:tcPr>
          <w:p w14:paraId="40AB91DC">
            <w:pPr>
              <w:spacing w:before="102" w:line="293" w:lineRule="auto"/>
              <w:ind w:left="378" w:right="35" w:hanging="330"/>
              <w:jc w:val="center"/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方案偏离汇总</w:t>
            </w:r>
          </w:p>
        </w:tc>
      </w:tr>
      <w:tr w14:paraId="01ADB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vAlign w:val="center"/>
          </w:tcPr>
          <w:p w14:paraId="350DC1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4" w:leftChars="0"/>
              <w:jc w:val="both"/>
              <w:textAlignment w:val="baseline"/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390" w:type="dxa"/>
            <w:vAlign w:val="center"/>
          </w:tcPr>
          <w:p w14:paraId="724739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0" w:leftChars="0" w:right="119" w:rightChars="0" w:hanging="109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试验参与者</w:t>
            </w:r>
          </w:p>
          <w:p w14:paraId="00B26E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0" w:leftChars="0" w:right="119" w:rightChars="0" w:hanging="109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编号</w:t>
            </w:r>
          </w:p>
        </w:tc>
        <w:tc>
          <w:tcPr>
            <w:tcW w:w="1198" w:type="dxa"/>
            <w:vAlign w:val="center"/>
          </w:tcPr>
          <w:p w14:paraId="5313B0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1" w:leftChars="0"/>
              <w:jc w:val="both"/>
              <w:textAlignment w:val="baseline"/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发生日期</w:t>
            </w:r>
          </w:p>
        </w:tc>
        <w:tc>
          <w:tcPr>
            <w:tcW w:w="1159" w:type="dxa"/>
            <w:vAlign w:val="center"/>
          </w:tcPr>
          <w:p w14:paraId="0324F8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52" w:leftChars="0"/>
              <w:jc w:val="both"/>
              <w:textAlignment w:val="baseline"/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发现日期</w:t>
            </w:r>
          </w:p>
        </w:tc>
        <w:tc>
          <w:tcPr>
            <w:tcW w:w="1539" w:type="dxa"/>
            <w:vAlign w:val="center"/>
          </w:tcPr>
          <w:p w14:paraId="639654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33" w:leftChars="0" w:right="173" w:rightChars="0" w:hanging="280" w:firstLineChars="0"/>
              <w:jc w:val="both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违背/偏离方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案类型</w:t>
            </w:r>
          </w:p>
        </w:tc>
        <w:tc>
          <w:tcPr>
            <w:tcW w:w="2978" w:type="dxa"/>
            <w:vAlign w:val="center"/>
          </w:tcPr>
          <w:p w14:paraId="34B767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75" w:leftChars="0"/>
              <w:jc w:val="both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事件描述</w:t>
            </w:r>
          </w:p>
        </w:tc>
        <w:tc>
          <w:tcPr>
            <w:tcW w:w="1299" w:type="dxa"/>
            <w:vAlign w:val="center"/>
          </w:tcPr>
          <w:p w14:paraId="758E9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6"/>
              <w:jc w:val="both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事件发生的</w:t>
            </w:r>
          </w:p>
          <w:p w14:paraId="0B62A2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26" w:leftChars="0"/>
              <w:jc w:val="both"/>
              <w:textAlignment w:val="baseline"/>
              <w:rPr>
                <w:rFonts w:hint="eastAsia" w:ascii="宋体" w:hAnsi="宋体" w:eastAsia="宋体" w:cs="宋体"/>
                <w:spacing w:val="1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</w:rPr>
              <w:t>原因</w:t>
            </w:r>
          </w:p>
        </w:tc>
        <w:tc>
          <w:tcPr>
            <w:tcW w:w="1599" w:type="dxa"/>
            <w:vAlign w:val="center"/>
          </w:tcPr>
          <w:p w14:paraId="6BA9E4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67" w:leftChars="0" w:right="138" w:rightChars="0" w:hanging="330" w:firstLineChars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对</w:t>
            </w:r>
            <w:r>
              <w:rPr>
                <w:rFonts w:hint="eastAsia" w:ascii="宋体" w:hAnsi="宋体" w:cs="宋体"/>
                <w:spacing w:val="-2"/>
                <w:sz w:val="21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的影响</w:t>
            </w:r>
          </w:p>
        </w:tc>
        <w:tc>
          <w:tcPr>
            <w:tcW w:w="1873" w:type="dxa"/>
            <w:vAlign w:val="center"/>
          </w:tcPr>
          <w:p w14:paraId="24599F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78" w:leftChars="0" w:right="35" w:rightChars="0" w:hanging="330" w:firstLineChars="0"/>
              <w:jc w:val="both"/>
              <w:textAlignment w:val="baseline"/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对研究结果的影响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和处理措施</w:t>
            </w:r>
          </w:p>
        </w:tc>
      </w:tr>
      <w:tr w14:paraId="7E7EA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14" w:type="dxa"/>
            <w:vAlign w:val="top"/>
          </w:tcPr>
          <w:p w14:paraId="267BC488">
            <w:pPr>
              <w:spacing w:before="115" w:line="229" w:lineRule="auto"/>
              <w:ind w:left="2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809080"/>
                <w:sz w:val="21"/>
                <w:szCs w:val="21"/>
              </w:rPr>
              <w:t>1</w:t>
            </w:r>
          </w:p>
        </w:tc>
        <w:tc>
          <w:tcPr>
            <w:tcW w:w="1390" w:type="dxa"/>
            <w:vAlign w:val="top"/>
          </w:tcPr>
          <w:p w14:paraId="4B4F2165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8" w:type="dxa"/>
            <w:vAlign w:val="top"/>
          </w:tcPr>
          <w:p w14:paraId="49F7E54E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 w14:paraId="2AEE8DAA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9" w:type="dxa"/>
            <w:vAlign w:val="top"/>
          </w:tcPr>
          <w:p w14:paraId="54706B74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8" w:type="dxa"/>
            <w:vAlign w:val="top"/>
          </w:tcPr>
          <w:p w14:paraId="147A4856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6F703ED8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9" w:type="dxa"/>
            <w:vAlign w:val="top"/>
          </w:tcPr>
          <w:p w14:paraId="70201631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3" w:type="dxa"/>
            <w:vAlign w:val="top"/>
          </w:tcPr>
          <w:p w14:paraId="2E3EC351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9063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14" w:type="dxa"/>
            <w:vAlign w:val="top"/>
          </w:tcPr>
          <w:p w14:paraId="1E4A34E6">
            <w:pPr>
              <w:spacing w:before="127" w:line="227" w:lineRule="auto"/>
              <w:ind w:left="2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390" w:type="dxa"/>
            <w:vAlign w:val="top"/>
          </w:tcPr>
          <w:p w14:paraId="2B0650DE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8" w:type="dxa"/>
            <w:vAlign w:val="top"/>
          </w:tcPr>
          <w:p w14:paraId="5FC83765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 w14:paraId="5C5E230D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9" w:type="dxa"/>
            <w:vAlign w:val="top"/>
          </w:tcPr>
          <w:p w14:paraId="6FBA2504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8" w:type="dxa"/>
            <w:vAlign w:val="top"/>
          </w:tcPr>
          <w:p w14:paraId="1B3B9A99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20396276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9" w:type="dxa"/>
            <w:vAlign w:val="top"/>
          </w:tcPr>
          <w:p w14:paraId="4246D787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3" w:type="dxa"/>
            <w:vAlign w:val="top"/>
          </w:tcPr>
          <w:p w14:paraId="4EC40C76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3B24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14" w:type="dxa"/>
            <w:vAlign w:val="top"/>
          </w:tcPr>
          <w:p w14:paraId="29823BF2">
            <w:pPr>
              <w:spacing w:before="119" w:line="229" w:lineRule="auto"/>
              <w:ind w:left="29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405060"/>
                <w:sz w:val="21"/>
                <w:szCs w:val="21"/>
              </w:rPr>
              <w:t>3</w:t>
            </w:r>
          </w:p>
        </w:tc>
        <w:tc>
          <w:tcPr>
            <w:tcW w:w="1390" w:type="dxa"/>
            <w:vAlign w:val="top"/>
          </w:tcPr>
          <w:p w14:paraId="16DF1B5A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8" w:type="dxa"/>
            <w:vAlign w:val="top"/>
          </w:tcPr>
          <w:p w14:paraId="5BF32440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 w14:paraId="739F7697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9" w:type="dxa"/>
            <w:vAlign w:val="top"/>
          </w:tcPr>
          <w:p w14:paraId="30BE9825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8" w:type="dxa"/>
            <w:vAlign w:val="top"/>
          </w:tcPr>
          <w:p w14:paraId="4E44C1DB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57FE7FF5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9" w:type="dxa"/>
            <w:vAlign w:val="top"/>
          </w:tcPr>
          <w:p w14:paraId="77CBBBAF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3" w:type="dxa"/>
            <w:vAlign w:val="top"/>
          </w:tcPr>
          <w:p w14:paraId="26CA6B2B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E9C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14" w:type="dxa"/>
            <w:vAlign w:val="top"/>
          </w:tcPr>
          <w:p w14:paraId="6EA97676">
            <w:pPr>
              <w:spacing w:before="119" w:line="229" w:lineRule="auto"/>
              <w:ind w:left="294"/>
              <w:rPr>
                <w:rFonts w:hint="eastAsia" w:ascii="宋体" w:hAnsi="宋体" w:eastAsia="宋体" w:cs="宋体"/>
                <w:color w:val="405060"/>
                <w:sz w:val="21"/>
                <w:szCs w:val="21"/>
              </w:rPr>
            </w:pPr>
          </w:p>
        </w:tc>
        <w:tc>
          <w:tcPr>
            <w:tcW w:w="1390" w:type="dxa"/>
            <w:vAlign w:val="top"/>
          </w:tcPr>
          <w:p w14:paraId="0F2507A6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8" w:type="dxa"/>
            <w:vAlign w:val="top"/>
          </w:tcPr>
          <w:p w14:paraId="6EBDA086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 w14:paraId="3B71A39C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9" w:type="dxa"/>
            <w:vAlign w:val="top"/>
          </w:tcPr>
          <w:p w14:paraId="1BC17725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8" w:type="dxa"/>
            <w:vAlign w:val="top"/>
          </w:tcPr>
          <w:p w14:paraId="16854375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3EFE6115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9" w:type="dxa"/>
            <w:vAlign w:val="top"/>
          </w:tcPr>
          <w:p w14:paraId="3C765C16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3" w:type="dxa"/>
            <w:vAlign w:val="top"/>
          </w:tcPr>
          <w:p w14:paraId="419A1A1D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49EA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14" w:type="dxa"/>
            <w:vAlign w:val="top"/>
          </w:tcPr>
          <w:p w14:paraId="5BF6AA44">
            <w:pPr>
              <w:spacing w:before="119" w:line="229" w:lineRule="auto"/>
              <w:ind w:left="294"/>
              <w:rPr>
                <w:rFonts w:hint="eastAsia" w:ascii="宋体" w:hAnsi="宋体" w:eastAsia="宋体" w:cs="宋体"/>
                <w:color w:val="405060"/>
                <w:sz w:val="21"/>
                <w:szCs w:val="21"/>
              </w:rPr>
            </w:pPr>
          </w:p>
        </w:tc>
        <w:tc>
          <w:tcPr>
            <w:tcW w:w="1390" w:type="dxa"/>
            <w:vAlign w:val="top"/>
          </w:tcPr>
          <w:p w14:paraId="446EB3E2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8" w:type="dxa"/>
            <w:vAlign w:val="top"/>
          </w:tcPr>
          <w:p w14:paraId="7AD759CC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 w14:paraId="5429D10D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9" w:type="dxa"/>
            <w:vAlign w:val="top"/>
          </w:tcPr>
          <w:p w14:paraId="15C94FC6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8" w:type="dxa"/>
            <w:vAlign w:val="top"/>
          </w:tcPr>
          <w:p w14:paraId="5BD82CF0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514DB24B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9" w:type="dxa"/>
            <w:vAlign w:val="top"/>
          </w:tcPr>
          <w:p w14:paraId="15D50A09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3" w:type="dxa"/>
            <w:vAlign w:val="top"/>
          </w:tcPr>
          <w:p w14:paraId="7737CE1D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64B8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14" w:type="dxa"/>
            <w:vAlign w:val="top"/>
          </w:tcPr>
          <w:p w14:paraId="4F98F699">
            <w:pPr>
              <w:spacing w:before="119" w:line="229" w:lineRule="auto"/>
              <w:ind w:left="294"/>
              <w:rPr>
                <w:rFonts w:hint="eastAsia" w:ascii="宋体" w:hAnsi="宋体" w:eastAsia="宋体" w:cs="宋体"/>
                <w:color w:val="405060"/>
                <w:sz w:val="21"/>
                <w:szCs w:val="21"/>
              </w:rPr>
            </w:pPr>
          </w:p>
        </w:tc>
        <w:tc>
          <w:tcPr>
            <w:tcW w:w="1390" w:type="dxa"/>
            <w:vAlign w:val="top"/>
          </w:tcPr>
          <w:p w14:paraId="22C5D931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8" w:type="dxa"/>
            <w:vAlign w:val="top"/>
          </w:tcPr>
          <w:p w14:paraId="79543979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 w14:paraId="04F1BD66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9" w:type="dxa"/>
            <w:vAlign w:val="top"/>
          </w:tcPr>
          <w:p w14:paraId="47039DEB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8" w:type="dxa"/>
            <w:vAlign w:val="top"/>
          </w:tcPr>
          <w:p w14:paraId="050E5E54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1A8211E3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9" w:type="dxa"/>
            <w:vAlign w:val="top"/>
          </w:tcPr>
          <w:p w14:paraId="64986334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3" w:type="dxa"/>
            <w:vAlign w:val="top"/>
          </w:tcPr>
          <w:p w14:paraId="077F9750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01E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14" w:type="dxa"/>
            <w:vAlign w:val="top"/>
          </w:tcPr>
          <w:p w14:paraId="75FD9955">
            <w:pPr>
              <w:spacing w:before="119" w:line="229" w:lineRule="auto"/>
              <w:ind w:left="294"/>
              <w:rPr>
                <w:rFonts w:hint="eastAsia" w:ascii="宋体" w:hAnsi="宋体" w:eastAsia="宋体" w:cs="宋体"/>
                <w:color w:val="405060"/>
                <w:sz w:val="21"/>
                <w:szCs w:val="21"/>
              </w:rPr>
            </w:pPr>
          </w:p>
        </w:tc>
        <w:tc>
          <w:tcPr>
            <w:tcW w:w="1390" w:type="dxa"/>
            <w:vAlign w:val="top"/>
          </w:tcPr>
          <w:p w14:paraId="098286A0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8" w:type="dxa"/>
            <w:vAlign w:val="top"/>
          </w:tcPr>
          <w:p w14:paraId="0C84D5DE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 w14:paraId="3A3EAA46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9" w:type="dxa"/>
            <w:vAlign w:val="top"/>
          </w:tcPr>
          <w:p w14:paraId="09667424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8" w:type="dxa"/>
            <w:vAlign w:val="top"/>
          </w:tcPr>
          <w:p w14:paraId="1E557FB6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5C33B507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9" w:type="dxa"/>
            <w:vAlign w:val="top"/>
          </w:tcPr>
          <w:p w14:paraId="0FB595F5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3" w:type="dxa"/>
            <w:vAlign w:val="top"/>
          </w:tcPr>
          <w:p w14:paraId="1D953B2A">
            <w:pPr>
              <w:pStyle w:val="63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F3D4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04" w:type="dxa"/>
            <w:gridSpan w:val="2"/>
            <w:vAlign w:val="center"/>
          </w:tcPr>
          <w:p w14:paraId="289EC455">
            <w:pPr>
              <w:pStyle w:val="6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主要研究者签名</w:t>
            </w:r>
          </w:p>
        </w:tc>
        <w:tc>
          <w:tcPr>
            <w:tcW w:w="3896" w:type="dxa"/>
            <w:gridSpan w:val="3"/>
            <w:vAlign w:val="center"/>
          </w:tcPr>
          <w:p w14:paraId="2EAFE6B9">
            <w:pPr>
              <w:pStyle w:val="6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8" w:type="dxa"/>
            <w:vAlign w:val="center"/>
          </w:tcPr>
          <w:p w14:paraId="499572F5">
            <w:pPr>
              <w:pStyle w:val="63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日期</w:t>
            </w:r>
          </w:p>
        </w:tc>
        <w:tc>
          <w:tcPr>
            <w:tcW w:w="4771" w:type="dxa"/>
            <w:gridSpan w:val="3"/>
            <w:vAlign w:val="center"/>
          </w:tcPr>
          <w:p w14:paraId="1B30AF4D">
            <w:pPr>
              <w:pStyle w:val="6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71CEC2AD">
      <w:pPr>
        <w:rPr>
          <w:rFonts w:hint="default"/>
          <w:color w:val="auto"/>
        </w:rPr>
      </w:pPr>
    </w:p>
    <w:p w14:paraId="7CC0E511">
      <w:pPr>
        <w:rPr>
          <w:b/>
          <w:bCs/>
          <w:color w:val="auto"/>
        </w:rPr>
      </w:pPr>
      <w:r>
        <w:rPr>
          <w:rFonts w:hint="default"/>
          <w:b/>
          <w:bCs/>
          <w:color w:val="auto"/>
        </w:rPr>
        <w:t>填表说明与备注：</w:t>
      </w:r>
    </w:p>
    <w:p w14:paraId="0D6D2851">
      <w:pPr>
        <w:rPr>
          <w:color w:val="auto"/>
        </w:rPr>
      </w:pPr>
    </w:p>
    <w:p w14:paraId="31205D20">
      <w:pPr>
        <w:spacing w:line="360" w:lineRule="auto"/>
        <w:rPr>
          <w:color w:val="auto"/>
        </w:rPr>
      </w:pPr>
      <w:r>
        <w:rPr>
          <w:rFonts w:hint="eastAsia"/>
          <w:color w:val="auto"/>
          <w:lang w:val="en-US" w:eastAsia="zh-CN"/>
        </w:rPr>
        <w:t>1、</w:t>
      </w:r>
      <w:r>
        <w:rPr>
          <w:rFonts w:hint="default"/>
          <w:color w:val="auto"/>
        </w:rPr>
        <w:t>递交时限：本表用于汇总报告轻微方案偏离（含轻度访视超窗、不影响关键数据的缺失等）。请研究者按季度（每3个月）汇总并递交一次伦理审查委员会。</w:t>
      </w:r>
    </w:p>
    <w:p w14:paraId="0F58B73D">
      <w:pPr>
        <w:spacing w:line="360" w:lineRule="auto"/>
        <w:rPr>
          <w:color w:val="auto"/>
        </w:rPr>
      </w:pPr>
      <w:r>
        <w:rPr>
          <w:rFonts w:hint="eastAsia"/>
          <w:color w:val="auto"/>
          <w:lang w:val="en-US" w:eastAsia="zh-CN"/>
        </w:rPr>
        <w:t>2、</w:t>
      </w:r>
      <w:r>
        <w:rPr>
          <w:rFonts w:hint="default"/>
          <w:color w:val="auto"/>
        </w:rPr>
        <w:t>处理方式：轻微方案偏离经伦理审查委员会秘书初步审核，且不增加试验参与者风险、不影响研究科学性和真实性的，由秘书登记备案，无需出具正式</w:t>
      </w:r>
      <w:r>
        <w:rPr>
          <w:rFonts w:hint="eastAsia"/>
          <w:color w:val="auto"/>
          <w:lang w:val="en-US" w:eastAsia="zh-CN"/>
        </w:rPr>
        <w:t>意见通知</w:t>
      </w:r>
      <w:bookmarkStart w:id="0" w:name="_GoBack"/>
      <w:bookmarkEnd w:id="0"/>
      <w:r>
        <w:rPr>
          <w:rFonts w:hint="default"/>
          <w:color w:val="auto"/>
        </w:rPr>
        <w:t>。若秘书初步判断存在潜在风险或属于严重、持续不依从情况的，将予以退回，并转按《重大方案偏离报告表》要求处理。</w:t>
      </w:r>
    </w:p>
    <w:p w14:paraId="70BE4FFC">
      <w:pPr>
        <w:spacing w:line="360" w:lineRule="auto"/>
        <w:rPr>
          <w:color w:val="auto"/>
        </w:rPr>
      </w:pPr>
      <w:r>
        <w:rPr>
          <w:rFonts w:hint="eastAsia"/>
          <w:color w:val="auto"/>
          <w:lang w:val="en-US" w:eastAsia="zh-CN"/>
        </w:rPr>
        <w:t>3、</w:t>
      </w:r>
      <w:r>
        <w:rPr>
          <w:rFonts w:hint="default"/>
          <w:color w:val="auto"/>
        </w:rPr>
        <w:t>保密要求：表格中的试验参与者编号需严格保护隐私，不得出现受试者姓名、身份证号等可识别身份的信息。</w:t>
      </w:r>
    </w:p>
    <w:p w14:paraId="7EE02B21">
      <w:pPr>
        <w:spacing w:line="360" w:lineRule="auto"/>
        <w:rPr>
          <w:color w:val="auto"/>
        </w:rPr>
      </w:pPr>
      <w:r>
        <w:rPr>
          <w:rFonts w:hint="eastAsia"/>
          <w:color w:val="auto"/>
          <w:lang w:val="en-US" w:eastAsia="zh-CN"/>
        </w:rPr>
        <w:t>4、</w:t>
      </w:r>
      <w:r>
        <w:rPr>
          <w:rFonts w:hint="default"/>
          <w:color w:val="auto"/>
        </w:rPr>
        <w:t>定期汇总：研究者应在年度/定期跟踪审查时，将本季度已备案的轻微偏离情况一并列入跟踪审查报告中，供伦理审查委员会汇总评估。</w:t>
      </w:r>
    </w:p>
    <w:p w14:paraId="5308FC78">
      <w:pPr>
        <w:spacing w:line="360" w:lineRule="auto"/>
        <w:rPr>
          <w:color w:val="auto"/>
        </w:rPr>
      </w:pPr>
      <w:r>
        <w:rPr>
          <w:rFonts w:hint="eastAsia"/>
          <w:color w:val="auto"/>
          <w:lang w:val="en-US" w:eastAsia="zh-CN"/>
        </w:rPr>
        <w:t>5、</w:t>
      </w:r>
      <w:r>
        <w:rPr>
          <w:rFonts w:hint="default"/>
          <w:color w:val="auto"/>
        </w:rPr>
        <w:t>其他重大偏离：如发生重大方案偏离，请勿使用本表，应立即按照重大方案偏离的时效要求（获知后5~10个工作日）单独填写《重大方案偏离报告表》上报。</w:t>
      </w:r>
    </w:p>
    <w:p w14:paraId="4731F2D9">
      <w:pPr>
        <w:spacing w:line="360" w:lineRule="auto"/>
        <w:rPr>
          <w:color w:val="auto"/>
        </w:rPr>
      </w:pPr>
    </w:p>
    <w:p w14:paraId="7F279B61">
      <w:pPr>
        <w:rPr>
          <w:color w:val="auto"/>
        </w:rPr>
      </w:pPr>
    </w:p>
    <w:sectPr>
      <w:headerReference r:id="rId3" w:type="default"/>
      <w:footerReference r:id="rId4" w:type="default"/>
      <w:pgSz w:w="16840" w:h="11900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F3680">
    <w:pPr>
      <w:pStyle w:val="17"/>
      <w:wordWrap w:val="0"/>
      <w:ind w:right="360"/>
      <w:jc w:val="right"/>
    </w:pPr>
    <w:r>
      <w:rPr>
        <w:rStyle w:val="33"/>
        <w:rFonts w:hint="eastAsia"/>
      </w:rPr>
      <w:t>第</w:t>
    </w:r>
    <w:r>
      <w:fldChar w:fldCharType="begin"/>
    </w:r>
    <w:r>
      <w:rPr>
        <w:rStyle w:val="33"/>
      </w:rPr>
      <w:instrText xml:space="preserve"> PAGE </w:instrText>
    </w:r>
    <w:r>
      <w:fldChar w:fldCharType="separate"/>
    </w:r>
    <w:r>
      <w:rPr>
        <w:rStyle w:val="33"/>
      </w:rPr>
      <w:t>21</w:t>
    </w:r>
    <w:r>
      <w:fldChar w:fldCharType="end"/>
    </w:r>
    <w:r>
      <w:rPr>
        <w:rStyle w:val="33"/>
        <w:rFonts w:hint="eastAsia"/>
      </w:rPr>
      <w:t>页</w:t>
    </w:r>
    <w:r>
      <w:rPr>
        <w:rStyle w:val="33"/>
      </w:rPr>
      <w:t xml:space="preserve">   </w:t>
    </w:r>
    <w:r>
      <w:rPr>
        <w:rStyle w:val="33"/>
        <w:rFonts w:hint="eastAsia"/>
      </w:rPr>
      <w:t>共</w:t>
    </w:r>
    <w:r>
      <w:fldChar w:fldCharType="begin"/>
    </w:r>
    <w:r>
      <w:rPr>
        <w:rStyle w:val="33"/>
      </w:rPr>
      <w:instrText xml:space="preserve"> NUMPAGES </w:instrText>
    </w:r>
    <w:r>
      <w:fldChar w:fldCharType="separate"/>
    </w:r>
    <w:r>
      <w:rPr>
        <w:rStyle w:val="33"/>
      </w:rPr>
      <w:t>203</w:t>
    </w:r>
    <w:r>
      <w:fldChar w:fldCharType="end"/>
    </w:r>
    <w:r>
      <w:rPr>
        <w:rStyle w:val="33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ECA22">
    <w:pPr>
      <w:pStyle w:val="18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</w:t>
    </w:r>
    <w:r>
      <w:rPr>
        <w:rFonts w:hint="eastAsia" w:ascii="Times New Roman" w:hAnsi="Times New Roman"/>
      </w:rPr>
      <w:t>IEC-C-0</w:t>
    </w:r>
    <w:r>
      <w:rPr>
        <w:rFonts w:hint="eastAsia"/>
        <w:lang w:val="en-US" w:eastAsia="zh-CN"/>
      </w:rPr>
      <w:t>20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1540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466657"/>
    <w:rsid w:val="01521743"/>
    <w:rsid w:val="016B26B6"/>
    <w:rsid w:val="018D7DCA"/>
    <w:rsid w:val="01BA053E"/>
    <w:rsid w:val="01C42B8B"/>
    <w:rsid w:val="02A52D67"/>
    <w:rsid w:val="02B40E52"/>
    <w:rsid w:val="02CE01A5"/>
    <w:rsid w:val="03443531"/>
    <w:rsid w:val="035717DD"/>
    <w:rsid w:val="03866FDC"/>
    <w:rsid w:val="038C112E"/>
    <w:rsid w:val="038F0263"/>
    <w:rsid w:val="03903AE7"/>
    <w:rsid w:val="03D1597D"/>
    <w:rsid w:val="03D25855"/>
    <w:rsid w:val="03E70DB3"/>
    <w:rsid w:val="04C2712A"/>
    <w:rsid w:val="04F76DD4"/>
    <w:rsid w:val="04FD0162"/>
    <w:rsid w:val="050250E9"/>
    <w:rsid w:val="053242B0"/>
    <w:rsid w:val="05BA3FC9"/>
    <w:rsid w:val="05C313AC"/>
    <w:rsid w:val="06AA66F4"/>
    <w:rsid w:val="077E1A2E"/>
    <w:rsid w:val="07B54E57"/>
    <w:rsid w:val="07CA6A21"/>
    <w:rsid w:val="07EC726F"/>
    <w:rsid w:val="07F87185"/>
    <w:rsid w:val="081010E1"/>
    <w:rsid w:val="08163245"/>
    <w:rsid w:val="0817778D"/>
    <w:rsid w:val="083B16CD"/>
    <w:rsid w:val="087E378B"/>
    <w:rsid w:val="097A09E3"/>
    <w:rsid w:val="09E47661"/>
    <w:rsid w:val="09F25D5F"/>
    <w:rsid w:val="0A1B0F4E"/>
    <w:rsid w:val="0ADD6C61"/>
    <w:rsid w:val="0AF32ECD"/>
    <w:rsid w:val="0B2649B7"/>
    <w:rsid w:val="0B52745A"/>
    <w:rsid w:val="0C021464"/>
    <w:rsid w:val="0C183B14"/>
    <w:rsid w:val="0C2D5E9F"/>
    <w:rsid w:val="0C3E0FCA"/>
    <w:rsid w:val="0CCD26E3"/>
    <w:rsid w:val="0CF5527F"/>
    <w:rsid w:val="0D181FDD"/>
    <w:rsid w:val="0D4912D9"/>
    <w:rsid w:val="0D6C56B8"/>
    <w:rsid w:val="0DAC149F"/>
    <w:rsid w:val="0E034A3B"/>
    <w:rsid w:val="0E807D4C"/>
    <w:rsid w:val="0E884F40"/>
    <w:rsid w:val="0F454F8E"/>
    <w:rsid w:val="0F656151"/>
    <w:rsid w:val="0F885CA3"/>
    <w:rsid w:val="0FBF4992"/>
    <w:rsid w:val="10016849"/>
    <w:rsid w:val="10743471"/>
    <w:rsid w:val="10BC3A5F"/>
    <w:rsid w:val="11167533"/>
    <w:rsid w:val="11291336"/>
    <w:rsid w:val="1168370B"/>
    <w:rsid w:val="11CE706E"/>
    <w:rsid w:val="11D402A7"/>
    <w:rsid w:val="11DC5CCF"/>
    <w:rsid w:val="121561FB"/>
    <w:rsid w:val="12415B32"/>
    <w:rsid w:val="124A4004"/>
    <w:rsid w:val="124E024F"/>
    <w:rsid w:val="125D526F"/>
    <w:rsid w:val="12867DFA"/>
    <w:rsid w:val="12A33949"/>
    <w:rsid w:val="12E60488"/>
    <w:rsid w:val="132D60B6"/>
    <w:rsid w:val="13833F28"/>
    <w:rsid w:val="138459D2"/>
    <w:rsid w:val="13A66F04"/>
    <w:rsid w:val="13D06732"/>
    <w:rsid w:val="144204BF"/>
    <w:rsid w:val="14A0576E"/>
    <w:rsid w:val="14E014B5"/>
    <w:rsid w:val="15114005"/>
    <w:rsid w:val="151F0689"/>
    <w:rsid w:val="154F0566"/>
    <w:rsid w:val="15746899"/>
    <w:rsid w:val="1583643A"/>
    <w:rsid w:val="15B230C0"/>
    <w:rsid w:val="15BB29D2"/>
    <w:rsid w:val="1631177A"/>
    <w:rsid w:val="16753188"/>
    <w:rsid w:val="16885CB3"/>
    <w:rsid w:val="16921052"/>
    <w:rsid w:val="176862B9"/>
    <w:rsid w:val="17B352BD"/>
    <w:rsid w:val="17CB7A6F"/>
    <w:rsid w:val="17E23913"/>
    <w:rsid w:val="17E554D0"/>
    <w:rsid w:val="180D6236"/>
    <w:rsid w:val="1815568F"/>
    <w:rsid w:val="181F06C4"/>
    <w:rsid w:val="183C55EC"/>
    <w:rsid w:val="18665E7E"/>
    <w:rsid w:val="18CD30A7"/>
    <w:rsid w:val="19713598"/>
    <w:rsid w:val="1A283F89"/>
    <w:rsid w:val="1A4109B4"/>
    <w:rsid w:val="1AF55659"/>
    <w:rsid w:val="1B4855C5"/>
    <w:rsid w:val="1B4C60EF"/>
    <w:rsid w:val="1B5B5A7E"/>
    <w:rsid w:val="1B666D00"/>
    <w:rsid w:val="1B861A71"/>
    <w:rsid w:val="1B9613EA"/>
    <w:rsid w:val="1BCB2DA2"/>
    <w:rsid w:val="1BF105C9"/>
    <w:rsid w:val="1C29062A"/>
    <w:rsid w:val="1C304633"/>
    <w:rsid w:val="1C4A1A87"/>
    <w:rsid w:val="1C972642"/>
    <w:rsid w:val="1D2B7B0B"/>
    <w:rsid w:val="1D4E55A7"/>
    <w:rsid w:val="1DB47B00"/>
    <w:rsid w:val="1DD604DE"/>
    <w:rsid w:val="1E2B1DB5"/>
    <w:rsid w:val="1E73323B"/>
    <w:rsid w:val="1EBB1A4A"/>
    <w:rsid w:val="1EE137C7"/>
    <w:rsid w:val="1EF65C58"/>
    <w:rsid w:val="1EF65EF6"/>
    <w:rsid w:val="1F26383F"/>
    <w:rsid w:val="1F2C1918"/>
    <w:rsid w:val="1F610B8A"/>
    <w:rsid w:val="1FC019CA"/>
    <w:rsid w:val="1FF61654"/>
    <w:rsid w:val="202F37BE"/>
    <w:rsid w:val="20AA3B3C"/>
    <w:rsid w:val="214B34CF"/>
    <w:rsid w:val="216D57E7"/>
    <w:rsid w:val="226B1251"/>
    <w:rsid w:val="227B4A78"/>
    <w:rsid w:val="22975239"/>
    <w:rsid w:val="22E744D4"/>
    <w:rsid w:val="22F4634C"/>
    <w:rsid w:val="231A50A3"/>
    <w:rsid w:val="23254599"/>
    <w:rsid w:val="237B3E42"/>
    <w:rsid w:val="238A2EEC"/>
    <w:rsid w:val="23F7524F"/>
    <w:rsid w:val="242C11B4"/>
    <w:rsid w:val="243B79EB"/>
    <w:rsid w:val="24442F8E"/>
    <w:rsid w:val="24B03B5D"/>
    <w:rsid w:val="24E502EB"/>
    <w:rsid w:val="24F17DEC"/>
    <w:rsid w:val="25A73A13"/>
    <w:rsid w:val="25D427AA"/>
    <w:rsid w:val="26051C44"/>
    <w:rsid w:val="260704EC"/>
    <w:rsid w:val="261347B7"/>
    <w:rsid w:val="26345740"/>
    <w:rsid w:val="263712CE"/>
    <w:rsid w:val="26724F14"/>
    <w:rsid w:val="26CB3F7B"/>
    <w:rsid w:val="271E5FEA"/>
    <w:rsid w:val="27223D2C"/>
    <w:rsid w:val="277F6CFA"/>
    <w:rsid w:val="27AE0BD0"/>
    <w:rsid w:val="27B70AB5"/>
    <w:rsid w:val="27BC27E0"/>
    <w:rsid w:val="27BD73F5"/>
    <w:rsid w:val="2801136F"/>
    <w:rsid w:val="280D0539"/>
    <w:rsid w:val="281F15E6"/>
    <w:rsid w:val="2837647D"/>
    <w:rsid w:val="28BC1F5F"/>
    <w:rsid w:val="28CF3B76"/>
    <w:rsid w:val="28D725A1"/>
    <w:rsid w:val="28F32043"/>
    <w:rsid w:val="29177E0C"/>
    <w:rsid w:val="294966C5"/>
    <w:rsid w:val="29E23D99"/>
    <w:rsid w:val="29F23503"/>
    <w:rsid w:val="2A0165B5"/>
    <w:rsid w:val="2A4C661A"/>
    <w:rsid w:val="2A61691A"/>
    <w:rsid w:val="2A8F4398"/>
    <w:rsid w:val="2B304EDB"/>
    <w:rsid w:val="2B326508"/>
    <w:rsid w:val="2B48310F"/>
    <w:rsid w:val="2B527CDC"/>
    <w:rsid w:val="2BA07051"/>
    <w:rsid w:val="2BA204AF"/>
    <w:rsid w:val="2BFA1CA3"/>
    <w:rsid w:val="2C081775"/>
    <w:rsid w:val="2C1159E1"/>
    <w:rsid w:val="2C8578CE"/>
    <w:rsid w:val="2C8B4122"/>
    <w:rsid w:val="2CCE58FC"/>
    <w:rsid w:val="2CD46954"/>
    <w:rsid w:val="2E093675"/>
    <w:rsid w:val="2E0B7A85"/>
    <w:rsid w:val="2E335D6E"/>
    <w:rsid w:val="2E820118"/>
    <w:rsid w:val="2ECD025A"/>
    <w:rsid w:val="2EF958DA"/>
    <w:rsid w:val="2F10374D"/>
    <w:rsid w:val="2F193B7C"/>
    <w:rsid w:val="2F2D14C0"/>
    <w:rsid w:val="2F3951BF"/>
    <w:rsid w:val="2F8E1C6F"/>
    <w:rsid w:val="2F8F1814"/>
    <w:rsid w:val="2FCC29AF"/>
    <w:rsid w:val="2FCF07C9"/>
    <w:rsid w:val="30104898"/>
    <w:rsid w:val="304112CF"/>
    <w:rsid w:val="30844E5B"/>
    <w:rsid w:val="308A649E"/>
    <w:rsid w:val="30A32EA5"/>
    <w:rsid w:val="30AF7922"/>
    <w:rsid w:val="30BA6D84"/>
    <w:rsid w:val="30DD2489"/>
    <w:rsid w:val="314A7D51"/>
    <w:rsid w:val="3155147F"/>
    <w:rsid w:val="31565C05"/>
    <w:rsid w:val="31AE37B4"/>
    <w:rsid w:val="31C51E2E"/>
    <w:rsid w:val="31DF50A9"/>
    <w:rsid w:val="31F462C5"/>
    <w:rsid w:val="3211678F"/>
    <w:rsid w:val="338C301A"/>
    <w:rsid w:val="33E621A9"/>
    <w:rsid w:val="341E2485"/>
    <w:rsid w:val="34857F7B"/>
    <w:rsid w:val="3494561D"/>
    <w:rsid w:val="34B644B3"/>
    <w:rsid w:val="34E00D83"/>
    <w:rsid w:val="34FA25E4"/>
    <w:rsid w:val="350026BC"/>
    <w:rsid w:val="35415CC5"/>
    <w:rsid w:val="35995E1E"/>
    <w:rsid w:val="359F0C3E"/>
    <w:rsid w:val="35AF114F"/>
    <w:rsid w:val="361B3D26"/>
    <w:rsid w:val="364554DD"/>
    <w:rsid w:val="364D3926"/>
    <w:rsid w:val="36956196"/>
    <w:rsid w:val="36C94D6E"/>
    <w:rsid w:val="37322871"/>
    <w:rsid w:val="374455F9"/>
    <w:rsid w:val="374761B1"/>
    <w:rsid w:val="37997C9C"/>
    <w:rsid w:val="37D45922"/>
    <w:rsid w:val="38376F0C"/>
    <w:rsid w:val="385B709E"/>
    <w:rsid w:val="3888244C"/>
    <w:rsid w:val="38892D0B"/>
    <w:rsid w:val="38AE3203"/>
    <w:rsid w:val="39055318"/>
    <w:rsid w:val="394A48DD"/>
    <w:rsid w:val="394B0965"/>
    <w:rsid w:val="3A08550A"/>
    <w:rsid w:val="3A20597D"/>
    <w:rsid w:val="3A363B0D"/>
    <w:rsid w:val="3A9948FB"/>
    <w:rsid w:val="3AA60379"/>
    <w:rsid w:val="3AB725F5"/>
    <w:rsid w:val="3B5E05B5"/>
    <w:rsid w:val="3B6F7EA4"/>
    <w:rsid w:val="3BAE7642"/>
    <w:rsid w:val="3BB865B6"/>
    <w:rsid w:val="3BCB62E9"/>
    <w:rsid w:val="3BDD7E24"/>
    <w:rsid w:val="3C051C75"/>
    <w:rsid w:val="3C830972"/>
    <w:rsid w:val="3CAB2E91"/>
    <w:rsid w:val="3CEA2E7D"/>
    <w:rsid w:val="3D007D17"/>
    <w:rsid w:val="3D124BBA"/>
    <w:rsid w:val="3D7A6218"/>
    <w:rsid w:val="3DAB0DAD"/>
    <w:rsid w:val="3DBC635F"/>
    <w:rsid w:val="3E0449F5"/>
    <w:rsid w:val="3F0A4526"/>
    <w:rsid w:val="3F180E14"/>
    <w:rsid w:val="3F5D2D40"/>
    <w:rsid w:val="3F8114FB"/>
    <w:rsid w:val="3FA4757D"/>
    <w:rsid w:val="40312608"/>
    <w:rsid w:val="404A39B1"/>
    <w:rsid w:val="40532D51"/>
    <w:rsid w:val="405E6B02"/>
    <w:rsid w:val="407225E2"/>
    <w:rsid w:val="410C5AAF"/>
    <w:rsid w:val="412C1F7C"/>
    <w:rsid w:val="41B16A4B"/>
    <w:rsid w:val="41C226C9"/>
    <w:rsid w:val="41DB2FFE"/>
    <w:rsid w:val="42403E6F"/>
    <w:rsid w:val="426B25D4"/>
    <w:rsid w:val="42B7390E"/>
    <w:rsid w:val="43122C20"/>
    <w:rsid w:val="431759AB"/>
    <w:rsid w:val="43875283"/>
    <w:rsid w:val="43A34095"/>
    <w:rsid w:val="43CF6B92"/>
    <w:rsid w:val="43D94A66"/>
    <w:rsid w:val="43DF1796"/>
    <w:rsid w:val="442D525D"/>
    <w:rsid w:val="448E0676"/>
    <w:rsid w:val="44B93FF0"/>
    <w:rsid w:val="44DB1E54"/>
    <w:rsid w:val="44FB7439"/>
    <w:rsid w:val="453F2CDA"/>
    <w:rsid w:val="45B3679A"/>
    <w:rsid w:val="45CA01EC"/>
    <w:rsid w:val="46733805"/>
    <w:rsid w:val="46C77931"/>
    <w:rsid w:val="47372A84"/>
    <w:rsid w:val="47F47107"/>
    <w:rsid w:val="482232CE"/>
    <w:rsid w:val="482B6CCE"/>
    <w:rsid w:val="484025FF"/>
    <w:rsid w:val="48557A9E"/>
    <w:rsid w:val="48AA455C"/>
    <w:rsid w:val="48C51D74"/>
    <w:rsid w:val="48FD3D13"/>
    <w:rsid w:val="49047ECE"/>
    <w:rsid w:val="4A2D4613"/>
    <w:rsid w:val="4A477739"/>
    <w:rsid w:val="4A8A3813"/>
    <w:rsid w:val="4AB32D6A"/>
    <w:rsid w:val="4AB77724"/>
    <w:rsid w:val="4AE922E8"/>
    <w:rsid w:val="4B6202EC"/>
    <w:rsid w:val="4B9C1A50"/>
    <w:rsid w:val="4BD368C5"/>
    <w:rsid w:val="4C087FCB"/>
    <w:rsid w:val="4C0B1510"/>
    <w:rsid w:val="4C3D5C0E"/>
    <w:rsid w:val="4C792459"/>
    <w:rsid w:val="4C9C5461"/>
    <w:rsid w:val="4D333749"/>
    <w:rsid w:val="4DA05B20"/>
    <w:rsid w:val="4DC62DB4"/>
    <w:rsid w:val="4E0570D7"/>
    <w:rsid w:val="4E2D2E33"/>
    <w:rsid w:val="4E4D39E3"/>
    <w:rsid w:val="4ED16940"/>
    <w:rsid w:val="4ED432AF"/>
    <w:rsid w:val="4F812992"/>
    <w:rsid w:val="4FF36569"/>
    <w:rsid w:val="50615016"/>
    <w:rsid w:val="50937738"/>
    <w:rsid w:val="50A56CB1"/>
    <w:rsid w:val="51114222"/>
    <w:rsid w:val="51B64A1D"/>
    <w:rsid w:val="51D15829"/>
    <w:rsid w:val="51D54704"/>
    <w:rsid w:val="51E62F25"/>
    <w:rsid w:val="52280DF1"/>
    <w:rsid w:val="523C5624"/>
    <w:rsid w:val="52495492"/>
    <w:rsid w:val="524A74CA"/>
    <w:rsid w:val="5252448D"/>
    <w:rsid w:val="52965AF3"/>
    <w:rsid w:val="52B93909"/>
    <w:rsid w:val="52E07A71"/>
    <w:rsid w:val="53387220"/>
    <w:rsid w:val="536F35A6"/>
    <w:rsid w:val="53910467"/>
    <w:rsid w:val="53B36EAB"/>
    <w:rsid w:val="53C9715A"/>
    <w:rsid w:val="53D1326E"/>
    <w:rsid w:val="53E3123F"/>
    <w:rsid w:val="53EC3BAC"/>
    <w:rsid w:val="54716DD1"/>
    <w:rsid w:val="54992955"/>
    <w:rsid w:val="5516017D"/>
    <w:rsid w:val="55164621"/>
    <w:rsid w:val="55187250"/>
    <w:rsid w:val="552D319F"/>
    <w:rsid w:val="554967A4"/>
    <w:rsid w:val="55610053"/>
    <w:rsid w:val="557A1529"/>
    <w:rsid w:val="558467A3"/>
    <w:rsid w:val="5586223F"/>
    <w:rsid w:val="55E47D24"/>
    <w:rsid w:val="55FD149D"/>
    <w:rsid w:val="565A2427"/>
    <w:rsid w:val="56E32F23"/>
    <w:rsid w:val="56F20776"/>
    <w:rsid w:val="57510F26"/>
    <w:rsid w:val="578C1E78"/>
    <w:rsid w:val="57A63A5E"/>
    <w:rsid w:val="57C00874"/>
    <w:rsid w:val="57FB2F35"/>
    <w:rsid w:val="58017371"/>
    <w:rsid w:val="581110D0"/>
    <w:rsid w:val="58306B5A"/>
    <w:rsid w:val="58682C37"/>
    <w:rsid w:val="588E127C"/>
    <w:rsid w:val="594E22EA"/>
    <w:rsid w:val="595E1385"/>
    <w:rsid w:val="5A625C12"/>
    <w:rsid w:val="5A9A613F"/>
    <w:rsid w:val="5AF15CAE"/>
    <w:rsid w:val="5B164E85"/>
    <w:rsid w:val="5B614B12"/>
    <w:rsid w:val="5B751975"/>
    <w:rsid w:val="5B7A6F8C"/>
    <w:rsid w:val="5BBA55DA"/>
    <w:rsid w:val="5C20232D"/>
    <w:rsid w:val="5CBE30B7"/>
    <w:rsid w:val="5CC53B48"/>
    <w:rsid w:val="5CCB5E94"/>
    <w:rsid w:val="5CE40B61"/>
    <w:rsid w:val="5D834805"/>
    <w:rsid w:val="5D8A028F"/>
    <w:rsid w:val="5D8B2D00"/>
    <w:rsid w:val="5DEF6881"/>
    <w:rsid w:val="5E060FB2"/>
    <w:rsid w:val="5E1C64DA"/>
    <w:rsid w:val="5E293134"/>
    <w:rsid w:val="5E2D7688"/>
    <w:rsid w:val="5E8C3CE0"/>
    <w:rsid w:val="5EBD3D5F"/>
    <w:rsid w:val="5EDA0F44"/>
    <w:rsid w:val="5EEE216B"/>
    <w:rsid w:val="5F8C78AA"/>
    <w:rsid w:val="5FA104DD"/>
    <w:rsid w:val="5FAB58D6"/>
    <w:rsid w:val="605F496D"/>
    <w:rsid w:val="60924BD2"/>
    <w:rsid w:val="609E5A0A"/>
    <w:rsid w:val="60A47A5D"/>
    <w:rsid w:val="60BA4FC1"/>
    <w:rsid w:val="60C2753E"/>
    <w:rsid w:val="60FF4D92"/>
    <w:rsid w:val="611777EE"/>
    <w:rsid w:val="61215987"/>
    <w:rsid w:val="61C55405"/>
    <w:rsid w:val="61E81E20"/>
    <w:rsid w:val="621421A5"/>
    <w:rsid w:val="62251F1F"/>
    <w:rsid w:val="626C4FB8"/>
    <w:rsid w:val="62725FBE"/>
    <w:rsid w:val="62832486"/>
    <w:rsid w:val="629E17B2"/>
    <w:rsid w:val="62E80D13"/>
    <w:rsid w:val="63AB23D8"/>
    <w:rsid w:val="63C74D38"/>
    <w:rsid w:val="63FE29C9"/>
    <w:rsid w:val="641E1CDA"/>
    <w:rsid w:val="643105DE"/>
    <w:rsid w:val="643E22D7"/>
    <w:rsid w:val="648F79CA"/>
    <w:rsid w:val="64B159B9"/>
    <w:rsid w:val="64CA722D"/>
    <w:rsid w:val="64CD7C81"/>
    <w:rsid w:val="64E87773"/>
    <w:rsid w:val="655C6080"/>
    <w:rsid w:val="65631C0A"/>
    <w:rsid w:val="65790D87"/>
    <w:rsid w:val="65CE3D15"/>
    <w:rsid w:val="66192560"/>
    <w:rsid w:val="661A6B25"/>
    <w:rsid w:val="664B09CF"/>
    <w:rsid w:val="666029C5"/>
    <w:rsid w:val="66734DBC"/>
    <w:rsid w:val="66D07A07"/>
    <w:rsid w:val="67200DF2"/>
    <w:rsid w:val="673D01AE"/>
    <w:rsid w:val="67527824"/>
    <w:rsid w:val="67A132B3"/>
    <w:rsid w:val="67BF1DE9"/>
    <w:rsid w:val="67D70870"/>
    <w:rsid w:val="6814614D"/>
    <w:rsid w:val="683F2B36"/>
    <w:rsid w:val="68845596"/>
    <w:rsid w:val="68B63CF9"/>
    <w:rsid w:val="68B82E7C"/>
    <w:rsid w:val="68E0459C"/>
    <w:rsid w:val="68FF6EAB"/>
    <w:rsid w:val="695B664F"/>
    <w:rsid w:val="69A00505"/>
    <w:rsid w:val="69EF5E88"/>
    <w:rsid w:val="6A882D4E"/>
    <w:rsid w:val="6A9A7E1F"/>
    <w:rsid w:val="6A9E28E4"/>
    <w:rsid w:val="6AD10F53"/>
    <w:rsid w:val="6ADD6F00"/>
    <w:rsid w:val="6B0A37EF"/>
    <w:rsid w:val="6B5A0A5A"/>
    <w:rsid w:val="6B814558"/>
    <w:rsid w:val="6B9B2216"/>
    <w:rsid w:val="6BDA7094"/>
    <w:rsid w:val="6C3311BD"/>
    <w:rsid w:val="6C334D13"/>
    <w:rsid w:val="6C791F6F"/>
    <w:rsid w:val="6D521B17"/>
    <w:rsid w:val="6D6856AB"/>
    <w:rsid w:val="6DFA4688"/>
    <w:rsid w:val="6EA83964"/>
    <w:rsid w:val="6EFA1CD9"/>
    <w:rsid w:val="6F496C60"/>
    <w:rsid w:val="6F4A74A4"/>
    <w:rsid w:val="6F593630"/>
    <w:rsid w:val="6F7306AB"/>
    <w:rsid w:val="6FB70357"/>
    <w:rsid w:val="6FCD6BCA"/>
    <w:rsid w:val="6FD35191"/>
    <w:rsid w:val="6FF90841"/>
    <w:rsid w:val="70463DEA"/>
    <w:rsid w:val="70473F3C"/>
    <w:rsid w:val="70772856"/>
    <w:rsid w:val="70835AFE"/>
    <w:rsid w:val="70C14FE6"/>
    <w:rsid w:val="70F80BA8"/>
    <w:rsid w:val="70FB0C9D"/>
    <w:rsid w:val="710475CC"/>
    <w:rsid w:val="715E4F2E"/>
    <w:rsid w:val="716A0AFD"/>
    <w:rsid w:val="71793279"/>
    <w:rsid w:val="719E60E5"/>
    <w:rsid w:val="71BD5D79"/>
    <w:rsid w:val="71EC787D"/>
    <w:rsid w:val="71FE3596"/>
    <w:rsid w:val="727B7999"/>
    <w:rsid w:val="727E4290"/>
    <w:rsid w:val="72D27BCA"/>
    <w:rsid w:val="73293BEC"/>
    <w:rsid w:val="73442A76"/>
    <w:rsid w:val="7362793F"/>
    <w:rsid w:val="736D7EFF"/>
    <w:rsid w:val="73A016D5"/>
    <w:rsid w:val="73A66718"/>
    <w:rsid w:val="73AC06C9"/>
    <w:rsid w:val="740E58C4"/>
    <w:rsid w:val="742A2C30"/>
    <w:rsid w:val="748F53FE"/>
    <w:rsid w:val="751D0C5C"/>
    <w:rsid w:val="7526200C"/>
    <w:rsid w:val="754D7B3D"/>
    <w:rsid w:val="75543C54"/>
    <w:rsid w:val="755F3940"/>
    <w:rsid w:val="75803660"/>
    <w:rsid w:val="75864A53"/>
    <w:rsid w:val="75BC4043"/>
    <w:rsid w:val="761F1063"/>
    <w:rsid w:val="7655679C"/>
    <w:rsid w:val="76692823"/>
    <w:rsid w:val="76843742"/>
    <w:rsid w:val="7694749C"/>
    <w:rsid w:val="769E7B7B"/>
    <w:rsid w:val="76BE285E"/>
    <w:rsid w:val="777B32BA"/>
    <w:rsid w:val="77813724"/>
    <w:rsid w:val="77D148D4"/>
    <w:rsid w:val="77DE2925"/>
    <w:rsid w:val="77EE4130"/>
    <w:rsid w:val="780305DD"/>
    <w:rsid w:val="789F6070"/>
    <w:rsid w:val="78AE785F"/>
    <w:rsid w:val="78E536B2"/>
    <w:rsid w:val="794516B5"/>
    <w:rsid w:val="79471DA2"/>
    <w:rsid w:val="797D2110"/>
    <w:rsid w:val="797F7E64"/>
    <w:rsid w:val="79C362DC"/>
    <w:rsid w:val="79D73ACF"/>
    <w:rsid w:val="79F44681"/>
    <w:rsid w:val="7A4C6481"/>
    <w:rsid w:val="7A94263C"/>
    <w:rsid w:val="7AE15B29"/>
    <w:rsid w:val="7AF97A75"/>
    <w:rsid w:val="7B002BB2"/>
    <w:rsid w:val="7B197943"/>
    <w:rsid w:val="7B4038F6"/>
    <w:rsid w:val="7B6570D9"/>
    <w:rsid w:val="7BA7370E"/>
    <w:rsid w:val="7BFA548C"/>
    <w:rsid w:val="7C366A42"/>
    <w:rsid w:val="7C5B2DE5"/>
    <w:rsid w:val="7CC02F1C"/>
    <w:rsid w:val="7CC3033B"/>
    <w:rsid w:val="7CCF7ECC"/>
    <w:rsid w:val="7CD82038"/>
    <w:rsid w:val="7D0D2996"/>
    <w:rsid w:val="7D1A7D1C"/>
    <w:rsid w:val="7DC5053A"/>
    <w:rsid w:val="7E0E1A8A"/>
    <w:rsid w:val="7E1A042F"/>
    <w:rsid w:val="7E4577B8"/>
    <w:rsid w:val="7E5427F9"/>
    <w:rsid w:val="7E705C9C"/>
    <w:rsid w:val="7E851D4C"/>
    <w:rsid w:val="7EF7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6"/>
    <w:autoRedefine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2">
    <w:name w:val="Default Paragraph Font"/>
    <w:autoRedefine/>
    <w:semiHidden/>
    <w:unhideWhenUsed/>
    <w:qFormat/>
    <w:uiPriority w:val="1"/>
  </w:style>
  <w:style w:type="table" w:default="1" w:styleId="3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autoRedefine/>
    <w:qFormat/>
    <w:uiPriority w:val="99"/>
    <w:pPr>
      <w:ind w:left="2520" w:leftChars="1200"/>
    </w:pPr>
  </w:style>
  <w:style w:type="paragraph" w:styleId="6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9"/>
    <w:autoRedefine/>
    <w:semiHidden/>
    <w:qFormat/>
    <w:uiPriority w:val="99"/>
    <w:pPr>
      <w:jc w:val="left"/>
    </w:pPr>
  </w:style>
  <w:style w:type="paragraph" w:styleId="8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9">
    <w:name w:val="Body Text Indent"/>
    <w:basedOn w:val="1"/>
    <w:link w:val="38"/>
    <w:autoRedefine/>
    <w:unhideWhenUsed/>
    <w:qFormat/>
    <w:uiPriority w:val="99"/>
    <w:pPr>
      <w:spacing w:after="120"/>
      <w:ind w:left="420" w:leftChars="200"/>
    </w:pPr>
  </w:style>
  <w:style w:type="paragraph" w:styleId="10">
    <w:name w:val="toc 5"/>
    <w:basedOn w:val="1"/>
    <w:next w:val="1"/>
    <w:autoRedefine/>
    <w:qFormat/>
    <w:uiPriority w:val="99"/>
    <w:pPr>
      <w:ind w:left="1680" w:leftChars="800"/>
    </w:pPr>
  </w:style>
  <w:style w:type="paragraph" w:styleId="11">
    <w:name w:val="toc 3"/>
    <w:basedOn w:val="1"/>
    <w:next w:val="1"/>
    <w:autoRedefine/>
    <w:qFormat/>
    <w:uiPriority w:val="39"/>
    <w:pPr>
      <w:ind w:left="840" w:leftChars="400"/>
    </w:pPr>
  </w:style>
  <w:style w:type="paragraph" w:styleId="12">
    <w:name w:val="Plain Text"/>
    <w:basedOn w:val="1"/>
    <w:link w:val="50"/>
    <w:autoRedefine/>
    <w:qFormat/>
    <w:uiPriority w:val="0"/>
    <w:rPr>
      <w:rFonts w:ascii="宋体" w:hAnsi="Courier New"/>
      <w:szCs w:val="20"/>
    </w:rPr>
  </w:style>
  <w:style w:type="paragraph" w:styleId="13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4">
    <w:name w:val="Date"/>
    <w:basedOn w:val="1"/>
    <w:next w:val="1"/>
    <w:link w:val="45"/>
    <w:autoRedefine/>
    <w:qFormat/>
    <w:uiPriority w:val="0"/>
    <w:pPr>
      <w:spacing w:line="360" w:lineRule="auto"/>
    </w:pPr>
    <w:rPr>
      <w:b/>
      <w:sz w:val="28"/>
      <w:szCs w:val="20"/>
    </w:rPr>
  </w:style>
  <w:style w:type="paragraph" w:styleId="15">
    <w:name w:val="Body Text Indent 2"/>
    <w:basedOn w:val="1"/>
    <w:link w:val="4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6">
    <w:name w:val="Balloon Text"/>
    <w:basedOn w:val="1"/>
    <w:link w:val="48"/>
    <w:autoRedefine/>
    <w:semiHidden/>
    <w:qFormat/>
    <w:uiPriority w:val="99"/>
    <w:rPr>
      <w:rFonts w:ascii="Heiti SC Light" w:eastAsia="Times New Roman"/>
      <w:sz w:val="18"/>
      <w:szCs w:val="18"/>
    </w:rPr>
  </w:style>
  <w:style w:type="paragraph" w:styleId="17">
    <w:name w:val="footer"/>
    <w:basedOn w:val="1"/>
    <w:link w:val="4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autoRedefine/>
    <w:qFormat/>
    <w:uiPriority w:val="39"/>
  </w:style>
  <w:style w:type="paragraph" w:styleId="20">
    <w:name w:val="toc 4"/>
    <w:basedOn w:val="1"/>
    <w:next w:val="1"/>
    <w:autoRedefine/>
    <w:qFormat/>
    <w:uiPriority w:val="99"/>
    <w:pPr>
      <w:ind w:left="1260" w:leftChars="600"/>
    </w:pPr>
  </w:style>
  <w:style w:type="paragraph" w:styleId="21">
    <w:name w:val="Subtitle"/>
    <w:basedOn w:val="1"/>
    <w:link w:val="56"/>
    <w:autoRedefine/>
    <w:qFormat/>
    <w:locked/>
    <w:uiPriority w:val="0"/>
    <w:pPr>
      <w:jc w:val="center"/>
    </w:pPr>
    <w:rPr>
      <w:b/>
      <w:bCs/>
    </w:rPr>
  </w:style>
  <w:style w:type="paragraph" w:styleId="22">
    <w:name w:val="List"/>
    <w:basedOn w:val="1"/>
    <w:autoRedefine/>
    <w:qFormat/>
    <w:uiPriority w:val="0"/>
    <w:pPr>
      <w:ind w:left="200" w:hanging="200" w:hangingChars="200"/>
    </w:pPr>
    <w:rPr>
      <w:szCs w:val="21"/>
    </w:rPr>
  </w:style>
  <w:style w:type="paragraph" w:styleId="23">
    <w:name w:val="toc 6"/>
    <w:basedOn w:val="1"/>
    <w:next w:val="1"/>
    <w:autoRedefine/>
    <w:qFormat/>
    <w:uiPriority w:val="99"/>
    <w:pPr>
      <w:ind w:left="2100" w:leftChars="1000"/>
    </w:pPr>
  </w:style>
  <w:style w:type="paragraph" w:styleId="24">
    <w:name w:val="toc 2"/>
    <w:basedOn w:val="1"/>
    <w:next w:val="1"/>
    <w:autoRedefine/>
    <w:qFormat/>
    <w:uiPriority w:val="39"/>
    <w:pPr>
      <w:ind w:left="420" w:leftChars="200"/>
    </w:pPr>
  </w:style>
  <w:style w:type="paragraph" w:styleId="25">
    <w:name w:val="toc 9"/>
    <w:basedOn w:val="1"/>
    <w:next w:val="1"/>
    <w:autoRedefine/>
    <w:qFormat/>
    <w:uiPriority w:val="99"/>
    <w:pPr>
      <w:ind w:left="3360" w:leftChars="1600"/>
    </w:pPr>
  </w:style>
  <w:style w:type="paragraph" w:styleId="26">
    <w:name w:val="Body Text 2"/>
    <w:basedOn w:val="1"/>
    <w:link w:val="37"/>
    <w:autoRedefine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7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8">
    <w:name w:val="Title"/>
    <w:basedOn w:val="1"/>
    <w:link w:val="47"/>
    <w:autoRedefine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9">
    <w:name w:val="annotation subject"/>
    <w:basedOn w:val="7"/>
    <w:next w:val="7"/>
    <w:link w:val="44"/>
    <w:autoRedefine/>
    <w:semiHidden/>
    <w:qFormat/>
    <w:uiPriority w:val="99"/>
    <w:rPr>
      <w:b/>
      <w:bCs/>
    </w:rPr>
  </w:style>
  <w:style w:type="table" w:styleId="31">
    <w:name w:val="Table Grid"/>
    <w:basedOn w:val="30"/>
    <w:autoRedefine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3">
    <w:name w:val="page number"/>
    <w:autoRedefine/>
    <w:qFormat/>
    <w:uiPriority w:val="99"/>
    <w:rPr>
      <w:rFonts w:cs="Times New Roman"/>
    </w:rPr>
  </w:style>
  <w:style w:type="character" w:styleId="34">
    <w:name w:val="Hyperlink"/>
    <w:basedOn w:val="32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36">
    <w:name w:val="标题 2 Char"/>
    <w:link w:val="3"/>
    <w:autoRedefine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7">
    <w:name w:val="正文文本 2 Char"/>
    <w:link w:val="26"/>
    <w:autoRedefine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8">
    <w:name w:val="正文文本缩进 Char"/>
    <w:link w:val="9"/>
    <w:autoRedefine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9">
    <w:name w:val="javascript"/>
    <w:autoRedefine/>
    <w:qFormat/>
    <w:uiPriority w:val="0"/>
  </w:style>
  <w:style w:type="character" w:customStyle="1" w:styleId="40">
    <w:name w:val="页脚 Char"/>
    <w:link w:val="17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1">
    <w:name w:val="正文文本缩进 2 Char"/>
    <w:link w:val="15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2">
    <w:name w:val="页眉 Char"/>
    <w:link w:val="18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3">
    <w:name w:val="标题 1 Char"/>
    <w:link w:val="2"/>
    <w:autoRedefine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4">
    <w:name w:val="批注主题 Char"/>
    <w:link w:val="29"/>
    <w:autoRedefine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5">
    <w:name w:val="日期 Char"/>
    <w:link w:val="14"/>
    <w:autoRedefine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6">
    <w:name w:val="标题 3 Char"/>
    <w:link w:val="4"/>
    <w:autoRedefine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7">
    <w:name w:val="标题 Char"/>
    <w:link w:val="28"/>
    <w:autoRedefine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8">
    <w:name w:val="批注框文本 Char"/>
    <w:link w:val="16"/>
    <w:autoRedefine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9">
    <w:name w:val="批注文字 Char"/>
    <w:link w:val="7"/>
    <w:autoRedefine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纯文本 Char"/>
    <w:link w:val="12"/>
    <w:autoRedefine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1">
    <w:name w:val="List Paragraph"/>
    <w:basedOn w:val="1"/>
    <w:autoRedefine/>
    <w:qFormat/>
    <w:uiPriority w:val="34"/>
    <w:pPr>
      <w:ind w:firstLine="420" w:firstLineChars="200"/>
    </w:pPr>
  </w:style>
  <w:style w:type="paragraph" w:styleId="52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paragraph" w:customStyle="1" w:styleId="54">
    <w:name w:val="我的正文"/>
    <w:basedOn w:val="1"/>
    <w:autoRedefine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5">
    <w:name w:val="批注文字 Char1"/>
    <w:autoRedefine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6">
    <w:name w:val="副标题 Char"/>
    <w:basedOn w:val="32"/>
    <w:link w:val="21"/>
    <w:autoRedefine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7">
    <w:name w:val="TOC Heading"/>
    <w:basedOn w:val="2"/>
    <w:next w:val="1"/>
    <w:autoRedefine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8">
    <w:name w:val="Quote"/>
    <w:basedOn w:val="1"/>
    <w:next w:val="1"/>
    <w:link w:val="5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9">
    <w:name w:val="引用 Char"/>
    <w:basedOn w:val="32"/>
    <w:link w:val="58"/>
    <w:autoRedefine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60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  <w:style w:type="table" w:customStyle="1" w:styleId="6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1554</Words>
  <Characters>1623</Characters>
  <Lines>1</Lines>
  <Paragraphs>1</Paragraphs>
  <TotalTime>20</TotalTime>
  <ScaleCrop>false</ScaleCrop>
  <LinksUpToDate>false</LinksUpToDate>
  <CharactersWithSpaces>1879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2024-01-28T11:15:00Z</cp:lastPrinted>
  <dcterms:modified xsi:type="dcterms:W3CDTF">2026-08-28T08:12:52Z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